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36BB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NQN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36BBC">
        <w:rPr>
          <w:rFonts w:ascii="Arial" w:hAnsi="Arial" w:cs="Arial"/>
          <w:sz w:val="20"/>
          <w:szCs w:val="20"/>
        </w:rPr>
        <w:t>29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36BBC" w:rsidRPr="00E36BBC">
        <w:rPr>
          <w:rFonts w:ascii="Arial" w:hAnsi="Arial" w:cs="Arial"/>
          <w:sz w:val="20"/>
          <w:szCs w:val="20"/>
        </w:rPr>
        <w:t>Quang</w:t>
      </w:r>
      <w:proofErr w:type="spellEnd"/>
      <w:r w:rsidR="00E36BBC" w:rsidRPr="00E36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BBC" w:rsidRPr="00E36BBC">
        <w:rPr>
          <w:rFonts w:ascii="Arial" w:hAnsi="Arial" w:cs="Arial"/>
          <w:sz w:val="20"/>
          <w:szCs w:val="20"/>
        </w:rPr>
        <w:t>Ninh</w:t>
      </w:r>
      <w:proofErr w:type="spellEnd"/>
      <w:r w:rsidR="00E36BBC" w:rsidRPr="00E36BBC">
        <w:rPr>
          <w:rFonts w:ascii="Arial" w:hAnsi="Arial" w:cs="Arial"/>
          <w:sz w:val="20"/>
          <w:szCs w:val="20"/>
        </w:rPr>
        <w:t xml:space="preserve"> Clean Water Joint Stock Company</w:t>
      </w:r>
      <w:r w:rsidR="00E36BBC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36BBC" w:rsidRDefault="00E36BB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 of 2019 and operation plan for 2020 as follows:</w:t>
      </w:r>
    </w:p>
    <w:p w:rsidR="00E36BBC" w:rsidRDefault="00E36BB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result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912"/>
        <w:gridCol w:w="1996"/>
        <w:gridCol w:w="1228"/>
        <w:gridCol w:w="1315"/>
        <w:gridCol w:w="1297"/>
        <w:gridCol w:w="1297"/>
      </w:tblGrid>
      <w:tr w:rsidR="00E36BBC" w:rsidTr="00E36BBC">
        <w:tc>
          <w:tcPr>
            <w:tcW w:w="531" w:type="dxa"/>
            <w:vMerge w:val="restart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12" w:type="dxa"/>
            <w:vMerge w:val="restart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96" w:type="dxa"/>
            <w:vMerge w:val="restart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543" w:type="dxa"/>
            <w:gridSpan w:val="2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594" w:type="dxa"/>
            <w:gridSpan w:val="2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rate</w:t>
            </w:r>
          </w:p>
        </w:tc>
      </w:tr>
      <w:tr w:rsidR="00E36BBC" w:rsidTr="00E36BBC">
        <w:tc>
          <w:tcPr>
            <w:tcW w:w="531" w:type="dxa"/>
            <w:vMerge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the plan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2018</w:t>
            </w:r>
          </w:p>
        </w:tc>
      </w:tr>
      <w:tr w:rsidR="00E36BBC" w:rsidTr="00585452">
        <w:tc>
          <w:tcPr>
            <w:tcW w:w="9576" w:type="dxa"/>
            <w:gridSpan w:val="7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Production indicator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of water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 m3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55,550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58,091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104.57%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+6.87%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 water revenue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543,342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578,671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106.50%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+9.12%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rate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13.2%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11.79%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-1.41%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-1.61%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development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10,785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107.85%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-5.21%</w:t>
            </w:r>
          </w:p>
        </w:tc>
      </w:tr>
      <w:tr w:rsidR="00E36BBC" w:rsidTr="00161E1A">
        <w:tc>
          <w:tcPr>
            <w:tcW w:w="9576" w:type="dxa"/>
            <w:gridSpan w:val="7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Financial indicators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560,000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594,534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106.17%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+8.56%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2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96" w:type="dxa"/>
          </w:tcPr>
          <w:p w:rsidR="00E36BBC" w:rsidRDefault="00E36BBC" w:rsidP="00E36BBC">
            <w:r w:rsidRPr="001C0F24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28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59,869</w:t>
            </w:r>
          </w:p>
        </w:tc>
        <w:tc>
          <w:tcPr>
            <w:tcW w:w="1315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64,208</w:t>
            </w:r>
          </w:p>
        </w:tc>
        <w:tc>
          <w:tcPr>
            <w:tcW w:w="1297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107.25%</w:t>
            </w:r>
          </w:p>
        </w:tc>
        <w:tc>
          <w:tcPr>
            <w:tcW w:w="1297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+9.62%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2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96" w:type="dxa"/>
          </w:tcPr>
          <w:p w:rsidR="00E36BBC" w:rsidRDefault="00E36BBC" w:rsidP="00E36BBC">
            <w:r w:rsidRPr="001C0F24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228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47,895</w:t>
            </w:r>
          </w:p>
        </w:tc>
        <w:tc>
          <w:tcPr>
            <w:tcW w:w="1315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51,852</w:t>
            </w:r>
          </w:p>
        </w:tc>
        <w:tc>
          <w:tcPr>
            <w:tcW w:w="1297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108.26%</w:t>
            </w:r>
          </w:p>
        </w:tc>
        <w:tc>
          <w:tcPr>
            <w:tcW w:w="1297" w:type="dxa"/>
          </w:tcPr>
          <w:p w:rsidR="00E36BBC" w:rsidRDefault="00E36BBC" w:rsidP="00E36B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+10.04%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Earnings per share 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-VND 55</w:t>
            </w:r>
          </w:p>
        </w:tc>
      </w:tr>
      <w:tr w:rsidR="00E36BBC" w:rsidTr="00E36BBC">
        <w:tc>
          <w:tcPr>
            <w:tcW w:w="531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1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99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1,000/person/month</w:t>
            </w:r>
          </w:p>
        </w:tc>
        <w:tc>
          <w:tcPr>
            <w:tcW w:w="122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8,600</w:t>
            </w:r>
          </w:p>
        </w:tc>
        <w:tc>
          <w:tcPr>
            <w:tcW w:w="13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8,658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100.67%</w:t>
            </w:r>
          </w:p>
        </w:tc>
        <w:tc>
          <w:tcPr>
            <w:tcW w:w="1297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+0.67%</w:t>
            </w:r>
          </w:p>
        </w:tc>
      </w:tr>
    </w:tbl>
    <w:p w:rsidR="00E36BBC" w:rsidRDefault="00E36BB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6BBC" w:rsidRDefault="00E36BB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E36BBC" w:rsidTr="00E36BBC">
        <w:tc>
          <w:tcPr>
            <w:tcW w:w="558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36BBC" w:rsidTr="00754C0F">
        <w:tc>
          <w:tcPr>
            <w:tcW w:w="9576" w:type="dxa"/>
            <w:gridSpan w:val="5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0861FC" w:rsidTr="00E36BBC">
        <w:tc>
          <w:tcPr>
            <w:tcW w:w="558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production</w:t>
            </w:r>
          </w:p>
        </w:tc>
        <w:tc>
          <w:tcPr>
            <w:tcW w:w="1915" w:type="dxa"/>
          </w:tcPr>
          <w:p w:rsidR="000861FC" w:rsidRDefault="000861FC" w:rsidP="000861FC">
            <w:r w:rsidRPr="00AE3A90">
              <w:rPr>
                <w:rFonts w:ascii="Arial" w:hAnsi="Arial" w:cs="Arial"/>
                <w:sz w:val="20"/>
                <w:szCs w:val="20"/>
              </w:rPr>
              <w:t>1,000 m3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66,224</w:t>
            </w:r>
          </w:p>
        </w:tc>
        <w:tc>
          <w:tcPr>
            <w:tcW w:w="1916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of water</w:t>
            </w:r>
          </w:p>
        </w:tc>
        <w:tc>
          <w:tcPr>
            <w:tcW w:w="1915" w:type="dxa"/>
          </w:tcPr>
          <w:p w:rsidR="000861FC" w:rsidRDefault="000861FC" w:rsidP="000861FC">
            <w:r w:rsidRPr="00AE3A90">
              <w:rPr>
                <w:rFonts w:ascii="Arial" w:hAnsi="Arial" w:cs="Arial"/>
                <w:sz w:val="20"/>
                <w:szCs w:val="20"/>
              </w:rPr>
              <w:t>1,000 m3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58,410</w:t>
            </w:r>
          </w:p>
        </w:tc>
        <w:tc>
          <w:tcPr>
            <w:tcW w:w="1916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rate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916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development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916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956003">
        <w:tc>
          <w:tcPr>
            <w:tcW w:w="9576" w:type="dxa"/>
            <w:gridSpan w:val="5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E36BBC" w:rsidTr="00E36BBC">
        <w:tc>
          <w:tcPr>
            <w:tcW w:w="558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915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527,826</w:t>
            </w:r>
          </w:p>
        </w:tc>
        <w:tc>
          <w:tcPr>
            <w:tcW w:w="191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BBC" w:rsidTr="00E36BBC">
        <w:tc>
          <w:tcPr>
            <w:tcW w:w="558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272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State-owned capital</w:t>
            </w:r>
          </w:p>
        </w:tc>
        <w:tc>
          <w:tcPr>
            <w:tcW w:w="1915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E36BB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488,805</w:t>
            </w:r>
          </w:p>
        </w:tc>
        <w:tc>
          <w:tcPr>
            <w:tcW w:w="1916" w:type="dxa"/>
          </w:tcPr>
          <w:p w:rsidR="00E36BBC" w:rsidRDefault="00E36BB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272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shareholder capital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19,510</w:t>
            </w:r>
          </w:p>
        </w:tc>
        <w:tc>
          <w:tcPr>
            <w:tcW w:w="191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577.629</w:t>
            </w:r>
          </w:p>
        </w:tc>
        <w:tc>
          <w:tcPr>
            <w:tcW w:w="191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running water revenue: 566.779</w:t>
            </w:r>
          </w:p>
        </w:tc>
      </w:tr>
      <w:tr w:rsidR="000861FC" w:rsidTr="00E36BBC">
        <w:tc>
          <w:tcPr>
            <w:tcW w:w="558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2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0861FC" w:rsidRDefault="000861FC" w:rsidP="000861FC">
            <w:r w:rsidRPr="0094332E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</w:t>
            </w:r>
          </w:p>
        </w:tc>
        <w:tc>
          <w:tcPr>
            <w:tcW w:w="1916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2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15" w:type="dxa"/>
          </w:tcPr>
          <w:p w:rsidR="000861FC" w:rsidRDefault="000861FC" w:rsidP="000861FC">
            <w:r w:rsidRPr="0094332E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</w:t>
            </w:r>
          </w:p>
        </w:tc>
        <w:tc>
          <w:tcPr>
            <w:tcW w:w="1916" w:type="dxa"/>
          </w:tcPr>
          <w:p w:rsidR="000861FC" w:rsidRDefault="000861FC" w:rsidP="000861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2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profit/ State-owned capital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91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2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Earnings per share 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91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FC" w:rsidTr="00E36BBC">
        <w:tc>
          <w:tcPr>
            <w:tcW w:w="558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72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to the State capital owner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191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BBC" w:rsidRDefault="00E36BB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0861FC">
        <w:rPr>
          <w:rFonts w:ascii="Arial" w:hAnsi="Arial" w:cs="Arial"/>
          <w:sz w:val="20"/>
          <w:szCs w:val="20"/>
        </w:rPr>
        <w:t xml:space="preserve"> Approve the Report on the activities of the Board of Directors in 2019, th</w:t>
      </w:r>
      <w:r>
        <w:rPr>
          <w:rFonts w:ascii="Arial" w:hAnsi="Arial" w:cs="Arial"/>
          <w:sz w:val="20"/>
          <w:szCs w:val="20"/>
        </w:rPr>
        <w:t>e direction and tasks for 2020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0861FC">
        <w:rPr>
          <w:rFonts w:ascii="Arial" w:hAnsi="Arial" w:cs="Arial"/>
          <w:sz w:val="20"/>
          <w:szCs w:val="20"/>
        </w:rPr>
        <w:t xml:space="preserve"> Approve the Report on situation of state</w:t>
      </w:r>
      <w:r>
        <w:rPr>
          <w:rFonts w:ascii="Arial" w:hAnsi="Arial" w:cs="Arial"/>
          <w:sz w:val="20"/>
          <w:szCs w:val="20"/>
        </w:rPr>
        <w:t>-owned capital divestment in the Company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Pr="000861FC">
        <w:rPr>
          <w:rFonts w:ascii="Arial" w:hAnsi="Arial" w:cs="Arial"/>
          <w:sz w:val="20"/>
          <w:szCs w:val="20"/>
        </w:rPr>
        <w:t>Approve the Report on the activities of the Supervisory Board in 2019, th</w:t>
      </w:r>
      <w:r>
        <w:rPr>
          <w:rFonts w:ascii="Arial" w:hAnsi="Arial" w:cs="Arial"/>
          <w:sz w:val="20"/>
          <w:szCs w:val="20"/>
        </w:rPr>
        <w:t>e direction and tasks for 2020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</w:t>
      </w:r>
      <w:r w:rsidRPr="000861FC">
        <w:rPr>
          <w:rFonts w:ascii="Arial" w:hAnsi="Arial" w:cs="Arial"/>
          <w:sz w:val="20"/>
          <w:szCs w:val="20"/>
        </w:rPr>
        <w:t xml:space="preserve">pprove the 2019 </w:t>
      </w:r>
      <w:r>
        <w:rPr>
          <w:rFonts w:ascii="Arial" w:hAnsi="Arial" w:cs="Arial"/>
          <w:sz w:val="20"/>
          <w:szCs w:val="20"/>
        </w:rPr>
        <w:t>financial statement</w:t>
      </w:r>
      <w:r w:rsidRPr="000861F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861FC">
        <w:rPr>
          <w:rFonts w:ascii="Arial" w:hAnsi="Arial" w:cs="Arial"/>
          <w:sz w:val="20"/>
          <w:szCs w:val="20"/>
        </w:rPr>
        <w:t>Quang</w:t>
      </w:r>
      <w:proofErr w:type="spellEnd"/>
      <w:r w:rsidRPr="000861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1FC">
        <w:rPr>
          <w:rFonts w:ascii="Arial" w:hAnsi="Arial" w:cs="Arial"/>
          <w:sz w:val="20"/>
          <w:szCs w:val="20"/>
        </w:rPr>
        <w:t>Ninh</w:t>
      </w:r>
      <w:proofErr w:type="spellEnd"/>
      <w:r w:rsidRPr="000861FC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lean Water Joint Stock Company </w:t>
      </w:r>
      <w:r w:rsidRPr="000861FC">
        <w:rPr>
          <w:rFonts w:ascii="Arial" w:hAnsi="Arial" w:cs="Arial"/>
          <w:sz w:val="20"/>
          <w:szCs w:val="20"/>
        </w:rPr>
        <w:t>audited by AASC Auditing</w:t>
      </w:r>
      <w:r>
        <w:rPr>
          <w:rFonts w:ascii="Arial" w:hAnsi="Arial" w:cs="Arial"/>
          <w:sz w:val="20"/>
          <w:szCs w:val="20"/>
        </w:rPr>
        <w:t xml:space="preserve"> Firm Company Limited</w:t>
      </w:r>
      <w:r w:rsidRPr="000861FC">
        <w:rPr>
          <w:rFonts w:ascii="Arial" w:hAnsi="Arial" w:cs="Arial"/>
          <w:sz w:val="20"/>
          <w:szCs w:val="20"/>
        </w:rPr>
        <w:t xml:space="preserve">: 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1FC">
        <w:rPr>
          <w:rFonts w:ascii="Arial" w:hAnsi="Arial" w:cs="Arial"/>
          <w:sz w:val="20"/>
          <w:szCs w:val="20"/>
        </w:rPr>
        <w:t>- Total ass</w:t>
      </w:r>
      <w:r>
        <w:rPr>
          <w:rFonts w:ascii="Arial" w:hAnsi="Arial" w:cs="Arial"/>
          <w:sz w:val="20"/>
          <w:szCs w:val="20"/>
        </w:rPr>
        <w:t xml:space="preserve">ets: </w:t>
      </w:r>
      <w:r w:rsidRPr="000861F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1,121,141,177,106</w:t>
      </w:r>
      <w:r w:rsidRPr="000861FC">
        <w:rPr>
          <w:rFonts w:ascii="Arial" w:hAnsi="Arial" w:cs="Arial"/>
          <w:sz w:val="20"/>
          <w:szCs w:val="20"/>
        </w:rPr>
        <w:t xml:space="preserve">  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61F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>'s equity: VND 601,075,142,430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1FC">
        <w:rPr>
          <w:rFonts w:ascii="Arial" w:hAnsi="Arial" w:cs="Arial"/>
          <w:sz w:val="20"/>
          <w:szCs w:val="20"/>
        </w:rPr>
        <w:t xml:space="preserve">- Total revenue: </w:t>
      </w:r>
      <w:r>
        <w:rPr>
          <w:rFonts w:ascii="Arial" w:hAnsi="Arial" w:cs="Arial"/>
          <w:sz w:val="20"/>
          <w:szCs w:val="20"/>
        </w:rPr>
        <w:t xml:space="preserve">VND </w:t>
      </w:r>
      <w:r w:rsidRPr="000861FC">
        <w:rPr>
          <w:rFonts w:ascii="Arial" w:hAnsi="Arial" w:cs="Arial"/>
          <w:sz w:val="20"/>
          <w:szCs w:val="20"/>
        </w:rPr>
        <w:t xml:space="preserve">594,533,959,228 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1FC">
        <w:rPr>
          <w:rFonts w:ascii="Arial" w:hAnsi="Arial" w:cs="Arial"/>
          <w:sz w:val="20"/>
          <w:szCs w:val="20"/>
        </w:rPr>
        <w:t>2 - Profit</w:t>
      </w:r>
      <w:r>
        <w:rPr>
          <w:rFonts w:ascii="Arial" w:hAnsi="Arial" w:cs="Arial"/>
          <w:sz w:val="20"/>
          <w:szCs w:val="20"/>
        </w:rPr>
        <w:t xml:space="preserve"> before tax: VND 64,207,667,900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1FC">
        <w:rPr>
          <w:rFonts w:ascii="Arial" w:hAnsi="Arial" w:cs="Arial"/>
          <w:sz w:val="20"/>
          <w:szCs w:val="20"/>
        </w:rPr>
        <w:t>- Profit after tax</w:t>
      </w:r>
      <w:r>
        <w:rPr>
          <w:rFonts w:ascii="Arial" w:hAnsi="Arial" w:cs="Arial"/>
          <w:sz w:val="20"/>
          <w:szCs w:val="20"/>
        </w:rPr>
        <w:t>: VND 51,852,304,</w:t>
      </w:r>
      <w:r w:rsidRPr="000861FC">
        <w:rPr>
          <w:rFonts w:ascii="Arial" w:hAnsi="Arial" w:cs="Arial"/>
          <w:sz w:val="20"/>
          <w:szCs w:val="20"/>
        </w:rPr>
        <w:t xml:space="preserve">933 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1FC">
        <w:rPr>
          <w:rFonts w:ascii="Arial" w:hAnsi="Arial" w:cs="Arial"/>
          <w:sz w:val="20"/>
          <w:szCs w:val="20"/>
        </w:rPr>
        <w:t xml:space="preserve">- Basic earnings per share: </w:t>
      </w:r>
      <w:r>
        <w:rPr>
          <w:rFonts w:ascii="Arial" w:hAnsi="Arial" w:cs="Arial"/>
          <w:sz w:val="20"/>
          <w:szCs w:val="20"/>
        </w:rPr>
        <w:t xml:space="preserve">VND 1,020 </w:t>
      </w:r>
    </w:p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1FC">
        <w:rPr>
          <w:rFonts w:ascii="Arial" w:hAnsi="Arial" w:cs="Arial"/>
          <w:sz w:val="20"/>
          <w:szCs w:val="20"/>
        </w:rPr>
        <w:t>Article 6. Approving the Plan</w:t>
      </w:r>
      <w:r>
        <w:rPr>
          <w:rFonts w:ascii="Arial" w:hAnsi="Arial" w:cs="Arial"/>
          <w:sz w:val="20"/>
          <w:szCs w:val="20"/>
        </w:rPr>
        <w:t xml:space="preserve"> on profit distribution for 2019 and dividend payment for</w:t>
      </w:r>
      <w:r w:rsidRPr="000861FC">
        <w:rPr>
          <w:rFonts w:ascii="Arial" w:hAnsi="Arial" w:cs="Arial"/>
          <w:sz w:val="20"/>
          <w:szCs w:val="20"/>
        </w:rPr>
        <w:t xml:space="preserve"> 2019, specifically: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033"/>
        <w:gridCol w:w="1226"/>
        <w:gridCol w:w="1913"/>
        <w:gridCol w:w="1909"/>
      </w:tblGrid>
      <w:tr w:rsidR="000861FC" w:rsidTr="00D75078">
        <w:tc>
          <w:tcPr>
            <w:tcW w:w="49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33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22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3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909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0861FC" w:rsidTr="00D75078">
        <w:tc>
          <w:tcPr>
            <w:tcW w:w="495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3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for dividend payment and extraction to funds</w:t>
            </w:r>
          </w:p>
        </w:tc>
        <w:tc>
          <w:tcPr>
            <w:tcW w:w="1226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51,852,304,933</w:t>
            </w:r>
          </w:p>
        </w:tc>
        <w:tc>
          <w:tcPr>
            <w:tcW w:w="1909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861FC" w:rsidTr="00D75078">
        <w:tc>
          <w:tcPr>
            <w:tcW w:w="495" w:type="dxa"/>
          </w:tcPr>
          <w:p w:rsidR="000861FC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3" w:type="dxa"/>
          </w:tcPr>
          <w:p w:rsidR="000861FC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1226" w:type="dxa"/>
          </w:tcPr>
          <w:p w:rsidR="000861FC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0861FC" w:rsidRDefault="000861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78" w:rsidTr="00D75078">
        <w:tc>
          <w:tcPr>
            <w:tcW w:w="495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03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Reserves for supplementing charter capital </w:t>
            </w:r>
          </w:p>
        </w:tc>
        <w:tc>
          <w:tcPr>
            <w:tcW w:w="1226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9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75078" w:rsidTr="00D75078">
        <w:tc>
          <w:tcPr>
            <w:tcW w:w="495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3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1226" w:type="dxa"/>
          </w:tcPr>
          <w:p w:rsidR="00D75078" w:rsidRDefault="00D75078" w:rsidP="00D75078">
            <w:r w:rsidRPr="00A32204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9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75078" w:rsidTr="00D75078">
        <w:tc>
          <w:tcPr>
            <w:tcW w:w="495" w:type="dxa"/>
            <w:vMerge w:val="restart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03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1226" w:type="dxa"/>
          </w:tcPr>
          <w:p w:rsidR="00D75078" w:rsidRDefault="00D75078" w:rsidP="00D75078">
            <w:r w:rsidRPr="00A32204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21,760,001,877</w:t>
            </w:r>
          </w:p>
        </w:tc>
        <w:tc>
          <w:tcPr>
            <w:tcW w:w="1909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41.96%</w:t>
            </w:r>
          </w:p>
        </w:tc>
      </w:tr>
      <w:tr w:rsidR="00D75078" w:rsidTr="00D75078">
        <w:tc>
          <w:tcPr>
            <w:tcW w:w="495" w:type="dxa"/>
            <w:vMerge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Welfare and Reward Fund for employees</w:t>
            </w:r>
          </w:p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Reward fund for Management Board </w:t>
            </w:r>
          </w:p>
        </w:tc>
        <w:tc>
          <w:tcPr>
            <w:tcW w:w="1226" w:type="dxa"/>
          </w:tcPr>
          <w:p w:rsidR="00D75078" w:rsidRDefault="00D75078" w:rsidP="00D75078">
            <w:r w:rsidRPr="00A32204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21,446,904,877</w:t>
            </w:r>
          </w:p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313,097,000</w:t>
            </w:r>
          </w:p>
        </w:tc>
        <w:tc>
          <w:tcPr>
            <w:tcW w:w="1909" w:type="dxa"/>
          </w:tcPr>
          <w:p w:rsidR="00D75078" w:rsidRDefault="00D75078" w:rsidP="00D750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78" w:rsidTr="00D75078">
        <w:tc>
          <w:tcPr>
            <w:tcW w:w="495" w:type="dxa"/>
            <w:vMerge w:val="restart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3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226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3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30,092,303,056</w:t>
            </w:r>
          </w:p>
        </w:tc>
        <w:tc>
          <w:tcPr>
            <w:tcW w:w="1909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58.04%</w:t>
            </w:r>
          </w:p>
        </w:tc>
      </w:tr>
      <w:tr w:rsidR="00D75078" w:rsidTr="00D75078">
        <w:tc>
          <w:tcPr>
            <w:tcW w:w="495" w:type="dxa"/>
            <w:vMerge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rate</w:t>
            </w:r>
          </w:p>
        </w:tc>
        <w:tc>
          <w:tcPr>
            <w:tcW w:w="1226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3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5.92</w:t>
            </w:r>
          </w:p>
        </w:tc>
        <w:tc>
          <w:tcPr>
            <w:tcW w:w="1909" w:type="dxa"/>
          </w:tcPr>
          <w:p w:rsidR="00D75078" w:rsidRDefault="00D7507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1FC" w:rsidRDefault="000861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Dividend payment time: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D75078">
        <w:rPr>
          <w:rFonts w:ascii="Arial" w:hAnsi="Arial" w:cs="Arial"/>
          <w:sz w:val="20"/>
          <w:szCs w:val="20"/>
        </w:rPr>
        <w:t xml:space="preserve"> authorizes the Board of Directors to decide the tim</w:t>
      </w:r>
      <w:r>
        <w:rPr>
          <w:rFonts w:ascii="Arial" w:hAnsi="Arial" w:cs="Arial"/>
          <w:sz w:val="20"/>
          <w:szCs w:val="20"/>
        </w:rPr>
        <w:t>e and method of paying dividend</w:t>
      </w:r>
      <w:r w:rsidRPr="00D75078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suit the financial situation</w:t>
      </w:r>
      <w:r w:rsidRPr="00D75078">
        <w:rPr>
          <w:rFonts w:ascii="Arial" w:hAnsi="Arial" w:cs="Arial"/>
          <w:sz w:val="20"/>
          <w:szCs w:val="20"/>
        </w:rPr>
        <w:t xml:space="preserve"> of the Company </w:t>
      </w: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Plan on</w:t>
      </w:r>
      <w:r w:rsidRPr="00D75078">
        <w:rPr>
          <w:rFonts w:ascii="Arial" w:hAnsi="Arial" w:cs="Arial"/>
          <w:sz w:val="20"/>
          <w:szCs w:val="20"/>
        </w:rPr>
        <w:t xml:space="preserve"> payment of remuneration to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D75078">
        <w:rPr>
          <w:rFonts w:ascii="Arial" w:hAnsi="Arial" w:cs="Arial"/>
          <w:sz w:val="20"/>
          <w:szCs w:val="20"/>
        </w:rPr>
        <w:t xml:space="preserve"> and Company Secretary in 2020, as follows: </w:t>
      </w: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1. Board of Directors: </w:t>
      </w: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- Number of members </w:t>
      </w:r>
      <w:r>
        <w:rPr>
          <w:rFonts w:ascii="Arial" w:hAnsi="Arial" w:cs="Arial"/>
          <w:sz w:val="20"/>
          <w:szCs w:val="20"/>
        </w:rPr>
        <w:t>of Board of Directors: 07 people</w:t>
      </w: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- Remuneration level </w:t>
      </w: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>+ Cha</w:t>
      </w:r>
      <w:r>
        <w:rPr>
          <w:rFonts w:ascii="Arial" w:hAnsi="Arial" w:cs="Arial"/>
          <w:sz w:val="20"/>
          <w:szCs w:val="20"/>
        </w:rPr>
        <w:t>irman of the Board of Directors: receiving full-time salary</w:t>
      </w:r>
      <w:r w:rsidRPr="00D75078">
        <w:rPr>
          <w:rFonts w:ascii="Arial" w:hAnsi="Arial" w:cs="Arial"/>
          <w:sz w:val="20"/>
          <w:szCs w:val="20"/>
        </w:rPr>
        <w:t xml:space="preserve"> accordin</w:t>
      </w:r>
      <w:r>
        <w:rPr>
          <w:rFonts w:ascii="Arial" w:hAnsi="Arial" w:cs="Arial"/>
          <w:sz w:val="20"/>
          <w:szCs w:val="20"/>
        </w:rPr>
        <w:t>g to the Regulation</w:t>
      </w:r>
      <w:r w:rsidRPr="00D75078">
        <w:rPr>
          <w:rFonts w:ascii="Arial" w:hAnsi="Arial" w:cs="Arial"/>
          <w:sz w:val="20"/>
          <w:szCs w:val="20"/>
        </w:rPr>
        <w:t xml:space="preserve"> on salary and bonus payment of the Company and remuneration for the representative of state capital as prescribed: VND 4,050,000</w:t>
      </w:r>
      <w:r>
        <w:rPr>
          <w:rFonts w:ascii="Arial" w:hAnsi="Arial" w:cs="Arial"/>
          <w:sz w:val="20"/>
          <w:szCs w:val="20"/>
        </w:rPr>
        <w:t>/ month</w:t>
      </w:r>
    </w:p>
    <w:p w:rsidR="00D75078" w:rsidRDefault="00D750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Members of the Board of Directors: VND 2,160,000/person/</w:t>
      </w:r>
      <w:r w:rsidRPr="00D75078">
        <w:rPr>
          <w:rFonts w:ascii="Arial" w:hAnsi="Arial" w:cs="Arial"/>
          <w:sz w:val="20"/>
          <w:szCs w:val="20"/>
        </w:rPr>
        <w:t>month</w:t>
      </w:r>
    </w:p>
    <w:p w:rsidR="00352C82" w:rsidRDefault="00D75078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2. Supervisory Board: </w:t>
      </w:r>
    </w:p>
    <w:p w:rsidR="00352C82" w:rsidRDefault="00D75078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- Number of </w:t>
      </w:r>
      <w:r w:rsidR="00352C82">
        <w:rPr>
          <w:rFonts w:ascii="Arial" w:hAnsi="Arial" w:cs="Arial"/>
          <w:sz w:val="20"/>
          <w:szCs w:val="20"/>
        </w:rPr>
        <w:t xml:space="preserve">members of the </w:t>
      </w:r>
      <w:r w:rsidRPr="00D75078">
        <w:rPr>
          <w:rFonts w:ascii="Arial" w:hAnsi="Arial" w:cs="Arial"/>
          <w:sz w:val="20"/>
          <w:szCs w:val="20"/>
        </w:rPr>
        <w:t>Supervisory Board</w:t>
      </w:r>
      <w:r w:rsidR="00352C82">
        <w:rPr>
          <w:rFonts w:ascii="Arial" w:hAnsi="Arial" w:cs="Arial"/>
          <w:sz w:val="20"/>
          <w:szCs w:val="20"/>
        </w:rPr>
        <w:t>: 03 people</w:t>
      </w:r>
    </w:p>
    <w:p w:rsidR="00352C82" w:rsidRDefault="00D75078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- </w:t>
      </w:r>
      <w:r w:rsidR="00352C82">
        <w:rPr>
          <w:rFonts w:ascii="Arial" w:hAnsi="Arial" w:cs="Arial"/>
          <w:sz w:val="20"/>
          <w:szCs w:val="20"/>
        </w:rPr>
        <w:t>Remuneration payment</w:t>
      </w:r>
      <w:r w:rsidRPr="00D75078">
        <w:rPr>
          <w:rFonts w:ascii="Arial" w:hAnsi="Arial" w:cs="Arial"/>
          <w:sz w:val="20"/>
          <w:szCs w:val="20"/>
        </w:rPr>
        <w:t xml:space="preserve"> (monthly salary): </w:t>
      </w:r>
    </w:p>
    <w:p w:rsidR="00352C82" w:rsidRDefault="00D75078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>+ Head of the Supervisory Board: Full-time salary according to the Company's Regulati</w:t>
      </w:r>
      <w:r w:rsidR="00352C82">
        <w:rPr>
          <w:rFonts w:ascii="Arial" w:hAnsi="Arial" w:cs="Arial"/>
          <w:sz w:val="20"/>
          <w:szCs w:val="20"/>
        </w:rPr>
        <w:t>on on salary and bonus payment</w:t>
      </w:r>
    </w:p>
    <w:p w:rsidR="00352C82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Members: Receiving</w:t>
      </w:r>
      <w:r w:rsidR="00D75078" w:rsidRPr="00D75078">
        <w:rPr>
          <w:rFonts w:ascii="Arial" w:hAnsi="Arial" w:cs="Arial"/>
          <w:sz w:val="20"/>
          <w:szCs w:val="20"/>
        </w:rPr>
        <w:t xml:space="preserve"> monthly salary according to the Regulation on salary payment and</w:t>
      </w:r>
      <w:r>
        <w:rPr>
          <w:rFonts w:ascii="Arial" w:hAnsi="Arial" w:cs="Arial"/>
          <w:sz w:val="20"/>
          <w:szCs w:val="20"/>
        </w:rPr>
        <w:t xml:space="preserve"> bonus payment of the Company</w:t>
      </w:r>
    </w:p>
    <w:p w:rsidR="00352C82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75078" w:rsidRPr="00D75078">
        <w:rPr>
          <w:rFonts w:ascii="Arial" w:hAnsi="Arial" w:cs="Arial"/>
          <w:sz w:val="20"/>
          <w:szCs w:val="20"/>
        </w:rPr>
        <w:t xml:space="preserve">Company Secretary: </w:t>
      </w:r>
    </w:p>
    <w:p w:rsidR="00352C82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Number of Company secretaries: 01 person</w:t>
      </w:r>
    </w:p>
    <w:p w:rsidR="00352C82" w:rsidRDefault="00D75078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lastRenderedPageBreak/>
        <w:t xml:space="preserve">- </w:t>
      </w:r>
      <w:r w:rsidR="00352C82">
        <w:rPr>
          <w:rFonts w:ascii="Arial" w:hAnsi="Arial" w:cs="Arial"/>
          <w:sz w:val="20"/>
          <w:szCs w:val="20"/>
        </w:rPr>
        <w:t>Remuneration</w:t>
      </w:r>
      <w:r w:rsidRPr="00D75078">
        <w:rPr>
          <w:rFonts w:ascii="Arial" w:hAnsi="Arial" w:cs="Arial"/>
          <w:sz w:val="20"/>
          <w:szCs w:val="20"/>
        </w:rPr>
        <w:t xml:space="preserve"> payment: </w:t>
      </w:r>
      <w:r w:rsidR="00352C82" w:rsidRPr="00D75078">
        <w:rPr>
          <w:rFonts w:ascii="Arial" w:hAnsi="Arial" w:cs="Arial"/>
          <w:sz w:val="20"/>
          <w:szCs w:val="20"/>
        </w:rPr>
        <w:t xml:space="preserve">VND </w:t>
      </w:r>
      <w:r w:rsidR="00352C82">
        <w:rPr>
          <w:rFonts w:ascii="Arial" w:hAnsi="Arial" w:cs="Arial"/>
          <w:sz w:val="20"/>
          <w:szCs w:val="20"/>
        </w:rPr>
        <w:t>1,440,000/person/month</w:t>
      </w:r>
    </w:p>
    <w:p w:rsidR="00D75078" w:rsidRDefault="00D75078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078">
        <w:rPr>
          <w:rFonts w:ascii="Arial" w:hAnsi="Arial" w:cs="Arial"/>
          <w:sz w:val="20"/>
          <w:szCs w:val="20"/>
        </w:rPr>
        <w:t xml:space="preserve">Remuneration of the Board of Directors, Supervisory Board, and Secretary of the Company </w:t>
      </w:r>
      <w:r w:rsidR="00352C82">
        <w:rPr>
          <w:rFonts w:ascii="Arial" w:hAnsi="Arial" w:cs="Arial"/>
          <w:sz w:val="20"/>
          <w:szCs w:val="20"/>
        </w:rPr>
        <w:t>is advanced monthly equal to</w:t>
      </w:r>
      <w:r w:rsidRPr="00D75078">
        <w:rPr>
          <w:rFonts w:ascii="Arial" w:hAnsi="Arial" w:cs="Arial"/>
          <w:sz w:val="20"/>
          <w:szCs w:val="20"/>
        </w:rPr>
        <w:t xml:space="preserve"> 80% of the remuneration </w:t>
      </w:r>
      <w:r w:rsidR="00352C82">
        <w:rPr>
          <w:rFonts w:ascii="Arial" w:hAnsi="Arial" w:cs="Arial"/>
          <w:sz w:val="20"/>
          <w:szCs w:val="20"/>
        </w:rPr>
        <w:t>level</w:t>
      </w:r>
      <w:r w:rsidRPr="00D75078">
        <w:rPr>
          <w:rFonts w:ascii="Arial" w:hAnsi="Arial" w:cs="Arial"/>
          <w:sz w:val="20"/>
          <w:szCs w:val="20"/>
        </w:rPr>
        <w:t xml:space="preserve"> and finalized </w:t>
      </w:r>
      <w:r w:rsidR="00352C82">
        <w:rPr>
          <w:rFonts w:ascii="Arial" w:hAnsi="Arial" w:cs="Arial"/>
          <w:sz w:val="20"/>
          <w:szCs w:val="20"/>
        </w:rPr>
        <w:t>when the Company fulfills</w:t>
      </w:r>
      <w:r w:rsidRPr="00D75078">
        <w:rPr>
          <w:rFonts w:ascii="Arial" w:hAnsi="Arial" w:cs="Arial"/>
          <w:sz w:val="20"/>
          <w:szCs w:val="20"/>
        </w:rPr>
        <w:t xml:space="preserve"> the production and business targets and </w:t>
      </w:r>
      <w:r w:rsidR="00352C82">
        <w:rPr>
          <w:rFonts w:ascii="Arial" w:hAnsi="Arial" w:cs="Arial"/>
          <w:sz w:val="20"/>
          <w:szCs w:val="20"/>
        </w:rPr>
        <w:t>performs well the</w:t>
      </w:r>
      <w:r w:rsidRPr="00D75078">
        <w:rPr>
          <w:rFonts w:ascii="Arial" w:hAnsi="Arial" w:cs="Arial"/>
          <w:sz w:val="20"/>
          <w:szCs w:val="20"/>
        </w:rPr>
        <w:t xml:space="preserve"> management regulations in accordance with the Law and the Charter of </w:t>
      </w:r>
      <w:r w:rsidR="00352C82">
        <w:rPr>
          <w:rFonts w:ascii="Arial" w:hAnsi="Arial" w:cs="Arial"/>
          <w:sz w:val="20"/>
          <w:szCs w:val="20"/>
        </w:rPr>
        <w:t>the Company</w:t>
      </w:r>
    </w:p>
    <w:p w:rsidR="00352C82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352C82">
        <w:rPr>
          <w:rFonts w:ascii="Arial" w:hAnsi="Arial" w:cs="Arial"/>
          <w:sz w:val="20"/>
          <w:szCs w:val="20"/>
        </w:rPr>
        <w:t xml:space="preserve"> Approve the list of 03 auditing firms: (1) AASC Auditing</w:t>
      </w:r>
      <w:r>
        <w:rPr>
          <w:rFonts w:ascii="Arial" w:hAnsi="Arial" w:cs="Arial"/>
          <w:sz w:val="20"/>
          <w:szCs w:val="20"/>
        </w:rPr>
        <w:t xml:space="preserve"> Firm</w:t>
      </w:r>
      <w:r w:rsidRPr="00352C82">
        <w:rPr>
          <w:rFonts w:ascii="Arial" w:hAnsi="Arial" w:cs="Arial"/>
          <w:sz w:val="20"/>
          <w:szCs w:val="20"/>
        </w:rPr>
        <w:t xml:space="preserve"> Company Limited, head office: No. 01 Le </w:t>
      </w:r>
      <w:proofErr w:type="spellStart"/>
      <w:r w:rsidRPr="00352C82">
        <w:rPr>
          <w:rFonts w:ascii="Arial" w:hAnsi="Arial" w:cs="Arial"/>
          <w:sz w:val="20"/>
          <w:szCs w:val="20"/>
        </w:rPr>
        <w:t>Phung</w:t>
      </w:r>
      <w:proofErr w:type="spellEnd"/>
      <w:r w:rsidRPr="00352C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C8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ieu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 District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352C82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( 2 )</w:t>
      </w:r>
      <w:r w:rsidRPr="00352C82">
        <w:rPr>
          <w:rFonts w:ascii="Arial" w:hAnsi="Arial" w:cs="Arial"/>
          <w:sz w:val="20"/>
          <w:szCs w:val="20"/>
        </w:rPr>
        <w:t xml:space="preserve"> Vietnam Auditing and Valuation Company Limited, Head office: 11th Floor, Song Da Building, A</w:t>
      </w:r>
      <w:r>
        <w:rPr>
          <w:rFonts w:ascii="Arial" w:hAnsi="Arial" w:cs="Arial"/>
          <w:sz w:val="20"/>
          <w:szCs w:val="20"/>
        </w:rPr>
        <w:t xml:space="preserve">lley 165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Street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352C82">
        <w:rPr>
          <w:rFonts w:ascii="Arial" w:hAnsi="Arial" w:cs="Arial"/>
          <w:sz w:val="20"/>
          <w:szCs w:val="20"/>
        </w:rPr>
        <w:t xml:space="preserve">(3) VACO Auditing Co., Ltd, head office: Floor 12A, 319 Corporation Building, 63 Le Van Luong, </w:t>
      </w:r>
      <w:proofErr w:type="spellStart"/>
      <w:r w:rsidRPr="00352C82">
        <w:rPr>
          <w:rFonts w:ascii="Arial" w:hAnsi="Arial" w:cs="Arial"/>
          <w:sz w:val="20"/>
          <w:szCs w:val="20"/>
        </w:rPr>
        <w:t>Trung</w:t>
      </w:r>
      <w:proofErr w:type="spellEnd"/>
      <w:r w:rsidRPr="00352C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C82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352C82">
        <w:rPr>
          <w:rFonts w:ascii="Arial" w:hAnsi="Arial" w:cs="Arial"/>
          <w:sz w:val="20"/>
          <w:szCs w:val="20"/>
        </w:rPr>
        <w:t xml:space="preserve"> and authorize the Board of Directors to choose 1 </w:t>
      </w:r>
      <w:r>
        <w:rPr>
          <w:rFonts w:ascii="Arial" w:hAnsi="Arial" w:cs="Arial"/>
          <w:sz w:val="20"/>
          <w:szCs w:val="20"/>
        </w:rPr>
        <w:t>of</w:t>
      </w:r>
      <w:r w:rsidRPr="00352C82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 xml:space="preserve">auditing </w:t>
      </w:r>
      <w:r w:rsidRPr="00352C82">
        <w:rPr>
          <w:rFonts w:ascii="Arial" w:hAnsi="Arial" w:cs="Arial"/>
          <w:sz w:val="20"/>
          <w:szCs w:val="20"/>
        </w:rPr>
        <w:t xml:space="preserve">companies </w:t>
      </w:r>
      <w:r>
        <w:rPr>
          <w:rFonts w:ascii="Arial" w:hAnsi="Arial" w:cs="Arial"/>
          <w:sz w:val="20"/>
          <w:szCs w:val="20"/>
        </w:rPr>
        <w:t>mentioned above to audit the financial statement of 2020</w:t>
      </w:r>
    </w:p>
    <w:p w:rsidR="00352C82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</w:t>
      </w:r>
      <w:r w:rsidRPr="00352C82">
        <w:rPr>
          <w:rFonts w:ascii="Arial" w:hAnsi="Arial" w:cs="Arial"/>
          <w:sz w:val="20"/>
          <w:szCs w:val="20"/>
        </w:rPr>
        <w:t xml:space="preserve">Approving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352C82">
        <w:rPr>
          <w:rFonts w:ascii="Arial" w:hAnsi="Arial" w:cs="Arial"/>
          <w:sz w:val="20"/>
          <w:szCs w:val="20"/>
        </w:rPr>
        <w:t xml:space="preserve"> authorizing the Board of Directors to actively deploy </w:t>
      </w:r>
      <w:r>
        <w:rPr>
          <w:rFonts w:ascii="Arial" w:hAnsi="Arial" w:cs="Arial"/>
          <w:sz w:val="20"/>
          <w:szCs w:val="20"/>
        </w:rPr>
        <w:t>the divestment of state capital</w:t>
      </w:r>
    </w:p>
    <w:p w:rsidR="00352C82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Pr="00352C82">
        <w:rPr>
          <w:rFonts w:ascii="Arial" w:hAnsi="Arial" w:cs="Arial"/>
          <w:sz w:val="20"/>
          <w:szCs w:val="20"/>
        </w:rPr>
        <w:t xml:space="preserve"> Implementing provisions  </w:t>
      </w:r>
    </w:p>
    <w:p w:rsidR="001E2CFE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C82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annual General Mandate was</w:t>
      </w:r>
      <w:r w:rsidRPr="00352C82"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352C82">
        <w:rPr>
          <w:rFonts w:ascii="Arial" w:hAnsi="Arial" w:cs="Arial"/>
          <w:sz w:val="20"/>
          <w:szCs w:val="20"/>
        </w:rPr>
        <w:t xml:space="preserve"> in 2020 of </w:t>
      </w:r>
      <w:proofErr w:type="spellStart"/>
      <w:r w:rsidRPr="00352C82">
        <w:rPr>
          <w:rFonts w:ascii="Arial" w:hAnsi="Arial" w:cs="Arial"/>
          <w:sz w:val="20"/>
          <w:szCs w:val="20"/>
        </w:rPr>
        <w:t>Quang</w:t>
      </w:r>
      <w:proofErr w:type="spellEnd"/>
      <w:r w:rsidRPr="00352C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C82">
        <w:rPr>
          <w:rFonts w:ascii="Arial" w:hAnsi="Arial" w:cs="Arial"/>
          <w:sz w:val="20"/>
          <w:szCs w:val="20"/>
        </w:rPr>
        <w:t>Ninh</w:t>
      </w:r>
      <w:proofErr w:type="spellEnd"/>
      <w:r w:rsidRPr="00352C82">
        <w:rPr>
          <w:rFonts w:ascii="Arial" w:hAnsi="Arial" w:cs="Arial"/>
          <w:sz w:val="20"/>
          <w:szCs w:val="20"/>
        </w:rPr>
        <w:t xml:space="preserve"> Clean Water Joint Stock Company and </w:t>
      </w:r>
      <w:r w:rsidR="001E2CFE">
        <w:rPr>
          <w:rFonts w:ascii="Arial" w:hAnsi="Arial" w:cs="Arial"/>
          <w:sz w:val="20"/>
          <w:szCs w:val="20"/>
        </w:rPr>
        <w:t>takes effect from June 29, 2020</w:t>
      </w:r>
    </w:p>
    <w:p w:rsidR="00352C82" w:rsidRPr="00D75078" w:rsidRDefault="00352C82" w:rsidP="00D750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C82">
        <w:rPr>
          <w:rFonts w:ascii="Arial" w:hAnsi="Arial" w:cs="Arial"/>
          <w:sz w:val="20"/>
          <w:szCs w:val="20"/>
        </w:rPr>
        <w:t xml:space="preserve">Members of the Board of Directors, the Supervisory Board and Shareholders are responsible for the implementation of this </w:t>
      </w:r>
      <w:r w:rsidR="001E2CFE">
        <w:rPr>
          <w:rFonts w:ascii="Arial" w:hAnsi="Arial" w:cs="Arial"/>
          <w:sz w:val="20"/>
          <w:szCs w:val="20"/>
        </w:rPr>
        <w:t xml:space="preserve">annual General Mandate in accordance with the law and Charter of </w:t>
      </w:r>
      <w:proofErr w:type="spellStart"/>
      <w:r w:rsidR="001E2CFE" w:rsidRPr="001E2CFE">
        <w:rPr>
          <w:rFonts w:ascii="Arial" w:hAnsi="Arial" w:cs="Arial"/>
          <w:sz w:val="20"/>
          <w:szCs w:val="20"/>
        </w:rPr>
        <w:t>Quang</w:t>
      </w:r>
      <w:proofErr w:type="spellEnd"/>
      <w:r w:rsidR="001E2CFE" w:rsidRPr="001E2C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CFE" w:rsidRPr="001E2CFE">
        <w:rPr>
          <w:rFonts w:ascii="Arial" w:hAnsi="Arial" w:cs="Arial"/>
          <w:sz w:val="20"/>
          <w:szCs w:val="20"/>
        </w:rPr>
        <w:t>Ninh</w:t>
      </w:r>
      <w:proofErr w:type="spellEnd"/>
      <w:r w:rsidR="001E2CFE" w:rsidRPr="001E2CFE">
        <w:rPr>
          <w:rFonts w:ascii="Arial" w:hAnsi="Arial" w:cs="Arial"/>
          <w:sz w:val="20"/>
          <w:szCs w:val="20"/>
        </w:rPr>
        <w:t xml:space="preserve"> Clean Water Joint Stock Company</w:t>
      </w:r>
      <w:r w:rsidR="005F17F3">
        <w:rPr>
          <w:rFonts w:ascii="Arial" w:hAnsi="Arial" w:cs="Arial"/>
          <w:sz w:val="20"/>
          <w:szCs w:val="20"/>
        </w:rPr>
        <w:t>.</w:t>
      </w:r>
    </w:p>
    <w:sectPr w:rsidR="00352C82" w:rsidRPr="00D7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C2D"/>
    <w:multiLevelType w:val="hybridMultilevel"/>
    <w:tmpl w:val="EB1C4F18"/>
    <w:lvl w:ilvl="0" w:tplc="86BC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861FC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2CFE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2C82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17F3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5078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36BBC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95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322</cp:revision>
  <dcterms:created xsi:type="dcterms:W3CDTF">2019-10-16T10:03:00Z</dcterms:created>
  <dcterms:modified xsi:type="dcterms:W3CDTF">2020-07-06T03:02:00Z</dcterms:modified>
</cp:coreProperties>
</file>